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6615" w:h="383" w:hRule="exact" w:wrap="none" w:vAnchor="page" w:hAnchor="page" w:x="2551" w:y="2891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hy-AM" w:eastAsia="hy-AM" w:bidi="hy-AM"/>
          <w:w w:val="100"/>
          <w:spacing w:val="0"/>
          <w:color w:val="000000"/>
          <w:position w:val="0"/>
        </w:rPr>
        <w:t xml:space="preserve">ԵՐԵՎԱՆԻ </w:t>
      </w:r>
      <w:r>
        <w:rPr>
          <w:lang w:val="hy-AM" w:eastAsia="hy-AM" w:bidi="hy-AM"/>
          <w:w w:val="100"/>
          <w:spacing w:val="0"/>
          <w:color w:val="000000"/>
          <w:position w:val="0"/>
        </w:rPr>
        <w:t>ՊԵՏԱԿԱՆ ՀԱՄԱԼՍԱՐԱՆԻ ԳԻՏԱԿԱՆ ՏԵՂԵԿԱԴԻՐ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УЧЕНЫЕ ЗАПИСКИ ЕРЕВАНСКОГО ГОСУДАРСТВЕННОГО УНИВЕРСИТЕТА</w:t>
      </w:r>
    </w:p>
    <w:p>
      <w:pPr>
        <w:pStyle w:val="Style5"/>
        <w:framePr w:wrap="none" w:vAnchor="page" w:hAnchor="page" w:x="2551" w:y="3339"/>
        <w:tabs>
          <w:tab w:leader="none" w:pos="3061" w:val="left"/>
          <w:tab w:leader="none" w:pos="5095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hy-AM" w:eastAsia="hy-AM" w:bidi="hy-AM"/>
          <w:w w:val="100"/>
          <w:spacing w:val="0"/>
          <w:color w:val="000000"/>
          <w:position w:val="0"/>
        </w:rPr>
        <w:t xml:space="preserve">Բնական </w:t>
      </w:r>
      <w:r>
        <w:rPr>
          <w:lang w:val="hy-AM" w:eastAsia="hy-AM" w:bidi="hy-AM"/>
          <w:w w:val="100"/>
          <w:spacing w:val="0"/>
          <w:color w:val="000000"/>
          <w:position w:val="0"/>
        </w:rPr>
        <w:t>գիտություններ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3,2004</w:t>
        <w:tab/>
      </w:r>
      <w:r>
        <w:rPr>
          <w:rStyle w:val="CharStyle7"/>
        </w:rPr>
        <w:t>Естественные науки</w:t>
      </w:r>
    </w:p>
    <w:p>
      <w:pPr>
        <w:pStyle w:val="Style8"/>
        <w:framePr w:w="6615" w:h="278" w:hRule="exact" w:wrap="none" w:vAnchor="page" w:hAnchor="page" w:x="2551" w:y="4978"/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Химия</w:t>
      </w:r>
    </w:p>
    <w:p>
      <w:pPr>
        <w:pStyle w:val="Style5"/>
        <w:framePr w:w="6615" w:h="7617" w:hRule="exact" w:wrap="none" w:vAnchor="page" w:hAnchor="page" w:x="2551" w:y="5638"/>
        <w:widowControl w:val="0"/>
        <w:keepNext w:val="0"/>
        <w:keepLines w:val="0"/>
        <w:shd w:val="clear" w:color="auto" w:fill="auto"/>
        <w:bidi w:val="0"/>
        <w:spacing w:before="0" w:after="392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УДК 546.98+543.25+668.8</w:t>
      </w:r>
    </w:p>
    <w:p>
      <w:pPr>
        <w:pStyle w:val="Style5"/>
        <w:framePr w:w="6615" w:h="7617" w:hRule="exact" w:wrap="none" w:vAnchor="page" w:hAnchor="page" w:x="2551" w:y="5638"/>
        <w:widowControl w:val="0"/>
        <w:keepNext w:val="0"/>
        <w:keepLines w:val="0"/>
        <w:shd w:val="clear" w:color="auto" w:fill="auto"/>
        <w:bidi w:val="0"/>
        <w:jc w:val="center"/>
        <w:spacing w:before="0" w:after="266" w:line="15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А. Р. МКРТЧЯН, Г. Н. ШАПОШНИКОВА, А. Г. ХАЧАТРЯН</w:t>
      </w:r>
    </w:p>
    <w:p>
      <w:pPr>
        <w:pStyle w:val="Style10"/>
        <w:framePr w:w="6615" w:h="7617" w:hRule="exact" w:wrap="none" w:vAnchor="page" w:hAnchor="page" w:x="2551" w:y="5638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ИССЛЕДОВАНИЕ ВЗАИМОДЕЙСТВИЯ ПАЛЛАДИЯ(П) С ТИОМОЧЕ-</w:t>
        <w:br/>
        <w:t>ВИНОЙ И ФЕНИЛТИОМОЧЕВИНОЙ СПЕКТРОФОТОМЕТРИЧЕСКИМ</w:t>
      </w:r>
    </w:p>
    <w:p>
      <w:pPr>
        <w:pStyle w:val="Style10"/>
        <w:framePr w:w="6615" w:h="7617" w:hRule="exact" w:wrap="none" w:vAnchor="page" w:hAnchor="page" w:x="2551" w:y="5638"/>
        <w:widowControl w:val="0"/>
        <w:keepNext w:val="0"/>
        <w:keepLines w:val="0"/>
        <w:shd w:val="clear" w:color="auto" w:fill="auto"/>
        <w:bidi w:val="0"/>
        <w:spacing w:before="0" w:after="157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МЕТОДОМ</w:t>
      </w:r>
    </w:p>
    <w:p>
      <w:pPr>
        <w:pStyle w:val="Style5"/>
        <w:framePr w:w="6615" w:h="7617" w:hRule="exact" w:wrap="none" w:vAnchor="page" w:hAnchor="page" w:x="2551" w:y="5638"/>
        <w:tabs>
          <w:tab w:leader="none" w:pos="5715" w:val="left"/>
        </w:tabs>
        <w:widowControl w:val="0"/>
        <w:keepNext w:val="0"/>
        <w:keepLines w:val="0"/>
        <w:shd w:val="clear" w:color="auto" w:fill="auto"/>
        <w:bidi w:val="0"/>
        <w:spacing w:before="0" w:after="0" w:line="189" w:lineRule="exact"/>
        <w:ind w:left="15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Выявлены оптимальные условия взаимодействия</w:t>
        <w:tab/>
        <w:t>кислотность</w:t>
      </w:r>
    </w:p>
    <w:p>
      <w:pPr>
        <w:pStyle w:val="Style5"/>
        <w:framePr w:w="6615" w:h="7617" w:hRule="exact" w:wrap="none" w:vAnchor="page" w:hAnchor="page" w:x="2551" w:y="5638"/>
        <w:widowControl w:val="0"/>
        <w:keepNext w:val="0"/>
        <w:keepLines w:val="0"/>
        <w:shd w:val="clear" w:color="auto" w:fill="auto"/>
        <w:bidi w:val="0"/>
        <w:spacing w:before="0" w:after="0" w:line="189" w:lineRule="exact"/>
        <w:ind w:left="1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среды, пределы подчиняемости основному закону фотометрии) Методами молярных отношений и сдвига равновесия определены составы образую</w:t>
        <w:softHyphen/>
        <w:t>щихся соединений.</w:t>
      </w:r>
    </w:p>
    <w:p>
      <w:pPr>
        <w:pStyle w:val="Style5"/>
        <w:framePr w:w="6615" w:h="7617" w:hRule="exact" w:wrap="none" w:vAnchor="page" w:hAnchor="page" w:x="2551" w:y="5638"/>
        <w:widowControl w:val="0"/>
        <w:keepNext w:val="0"/>
        <w:keepLines w:val="0"/>
        <w:shd w:val="clear" w:color="auto" w:fill="auto"/>
        <w:bidi w:val="0"/>
        <w:jc w:val="left"/>
        <w:spacing w:before="0" w:after="266" w:line="189" w:lineRule="exact"/>
        <w:ind w:left="1300" w:right="0" w:firstLine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Разработаны методики определения палладия(Н) в электролите пал ли</w:t>
        <w:softHyphen/>
        <w:t>дирования.</w:t>
      </w:r>
    </w:p>
    <w:p>
      <w:pPr>
        <w:pStyle w:val="Style10"/>
        <w:framePr w:w="6615" w:h="7617" w:hRule="exact" w:wrap="none" w:vAnchor="page" w:hAnchor="page" w:x="2551" w:y="5638"/>
        <w:widowControl w:val="0"/>
        <w:keepNext w:val="0"/>
        <w:keepLines w:val="0"/>
        <w:shd w:val="clear" w:color="auto" w:fill="auto"/>
        <w:bidi w:val="0"/>
        <w:jc w:val="both"/>
        <w:spacing w:before="0" w:after="0" w:line="232" w:lineRule="exact"/>
        <w:ind w:left="0" w:right="0" w:firstLine="52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Для колориметрического определения палладия(П) предложены в основном органические реагенты - </w:t>
      </w:r>
      <w:r>
        <w:rPr>
          <w:rStyle w:val="CharStyle12"/>
        </w:rPr>
        <w:t>а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-фурилдиоксим, паранитрозодиметил- анилин, нитрозодифениламин и др. Между тем ни один из них не может быть применен для определения палладия(Н) в растворах с высокой концентра</w:t>
        <w:softHyphen/>
        <w:t>цией нейтральных солей, так как при этом уменьшается интенсивность окраски, сужается интервал оптимальной кислотности, необходимо длитель</w:t>
        <w:softHyphen/>
        <w:t>ное выдерживание растворов дтя достижения максимальной окраски [ I ].</w:t>
      </w:r>
    </w:p>
    <w:p>
      <w:pPr>
        <w:pStyle w:val="Style10"/>
        <w:framePr w:w="6615" w:h="7617" w:hRule="exact" w:wrap="none" w:vAnchor="page" w:hAnchor="page" w:x="2551" w:y="5638"/>
        <w:widowControl w:val="0"/>
        <w:keepNext w:val="0"/>
        <w:keepLines w:val="0"/>
        <w:shd w:val="clear" w:color="auto" w:fill="auto"/>
        <w:bidi w:val="0"/>
        <w:jc w:val="both"/>
        <w:spacing w:before="0" w:after="0" w:line="232" w:lineRule="exact"/>
        <w:ind w:left="0" w:right="0" w:firstLine="5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Данные по взаимодействию палладия(П) с тиомочевиной, представлен</w:t>
        <w:softHyphen/>
        <w:t>ные рядом авторов, довольно противоречивы. Состав тиомочевинимх комп</w:t>
        <w:softHyphen/>
        <w:t>лексов палладия(П) колеблется от 1:1 до 1:4 [2]. Методами потенциометрии и амперометрии установлено, что в сернокислой среде образуются соедине</w:t>
        <w:softHyphen/>
        <w:t>ния с мольным отношением реагирующих компонентов 1:2 и 1:4 [3].</w:t>
      </w:r>
    </w:p>
    <w:p>
      <w:pPr>
        <w:pStyle w:val="Style10"/>
        <w:framePr w:w="6615" w:h="7617" w:hRule="exact" w:wrap="none" w:vAnchor="page" w:hAnchor="page" w:x="2551" w:y="5638"/>
        <w:widowControl w:val="0"/>
        <w:keepNext w:val="0"/>
        <w:keepLines w:val="0"/>
        <w:shd w:val="clear" w:color="auto" w:fill="auto"/>
        <w:bidi w:val="0"/>
        <w:jc w:val="both"/>
        <w:spacing w:before="0" w:after="0" w:line="232" w:lineRule="exact"/>
        <w:ind w:left="0" w:right="0" w:firstLine="5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Целью настоящей работы является изучение взаимодействия палла</w:t>
        <w:softHyphen/>
        <w:t>дия (П) с тиомочевиной (ТМ) и фенилтиомочевиной (ФТМ) в солянокислых растворах.</w:t>
      </w:r>
    </w:p>
    <w:p>
      <w:pPr>
        <w:pStyle w:val="Style10"/>
        <w:framePr w:w="6615" w:h="7617" w:hRule="exact" w:wrap="none" w:vAnchor="page" w:hAnchor="page" w:x="2551" w:y="5638"/>
        <w:widowControl w:val="0"/>
        <w:keepNext w:val="0"/>
        <w:keepLines w:val="0"/>
        <w:shd w:val="clear" w:color="auto" w:fill="auto"/>
        <w:bidi w:val="0"/>
        <w:jc w:val="both"/>
        <w:spacing w:before="0" w:after="0" w:line="232" w:lineRule="exact"/>
        <w:ind w:left="0" w:right="0" w:firstLine="5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Эксвержиежтальаая часть. Стандартный раствор паллалияШ) готови</w:t>
        <w:softHyphen/>
        <w:t>ли растворением металлического палладия в концентрированной азотной кислоте с последующей денитрацией серной кислотой. Рабочие растворы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6983" w:h="10856" w:hRule="exact" w:wrap="none" w:vAnchor="page" w:hAnchor="page" w:x="2367" w:y="2852"/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31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ТМ и ФТМ были получены растворением точных навесок реагентов, пере-</w:t>
        <w:br/>
        <w:t>кристаллизованных соответственно в дистиллированной воде и этаноле.</w:t>
      </w:r>
    </w:p>
    <w:p>
      <w:pPr>
        <w:pStyle w:val="Style10"/>
        <w:framePr w:w="6983" w:h="10856" w:hRule="exact" w:wrap="none" w:vAnchor="page" w:hAnchor="page" w:x="2367" w:y="2852"/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31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Оптическую плотность полученных окрашенных соединений изме</w:t>
        <w:t>-</w:t>
        <w:br/>
        <w:t>ряли на спектрофотометре СФ-4А. Предварительными опытами было</w:t>
        <w:br/>
        <w:t>установлено, что в сернокислых растворах палладий(П) образует окрашен</w:t>
        <w:t>-</w:t>
        <w:br/>
        <w:t>ные осадки с ТМ и ФТМ, что делает невозможным их изучение спектро</w:t>
        <w:t>-</w:t>
        <w:br/>
        <w:t>фотометрическим методом.</w:t>
      </w:r>
    </w:p>
    <w:p>
      <w:pPr>
        <w:pStyle w:val="Style10"/>
        <w:framePr w:w="6983" w:h="10856" w:hRule="exact" w:wrap="none" w:vAnchor="page" w:hAnchor="page" w:x="2367" w:y="2852"/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31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Изучение электронных спектров светопоглощения соединений палла</w:t>
        <w:t>-</w:t>
        <w:br/>
        <w:t>дия^) с ТМ и ФТМ в солянокислых растворах показало, что при слива</w:t>
        <w:t>-</w:t>
        <w:br/>
        <w:t>нии реагентов спектры поглощения существенно отличаются от спектров</w:t>
        <w:br/>
        <w:t>светопоглощения исходных компонентов, что свидетельствует об образова</w:t>
        <w:t>-</w:t>
        <w:br/>
        <w:t>нии нового индивидуального соединения комплексного характера. Наблюда</w:t>
        <w:t>-</w:t>
        <w:br/>
        <w:t>ются четко выраженные максимумы при 330 и 400нл&lt;. С повышением кон</w:t>
        <w:t>-</w:t>
        <w:br/>
        <w:t>центрации органических реагентов второй максимум исчезает при мольном</w:t>
        <w:br/>
        <w:t>отношении Рс1(11):К=1:1, а первый - увеличивается и достигает максималь</w:t>
        <w:t>-</w:t>
      </w:r>
    </w:p>
    <w:p>
      <w:pPr>
        <w:pStyle w:val="Style10"/>
        <w:framePr w:w="6983" w:h="10856" w:hRule="exact" w:wrap="none" w:vAnchor="page" w:hAnchor="page" w:x="2367" w:y="2852"/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4032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ного значения при Рс1(11):К= 1:3</w:t>
        <w:br/>
        <w:t>(см. рис.). Указанные мольные</w:t>
        <w:br/>
        <w:t>отношения не изменяются в</w:t>
        <w:br/>
        <w:t>пределах концентрации соляной</w:t>
        <w:br/>
        <w:t>кислоты 0,1-7,0</w:t>
      </w:r>
      <w:r>
        <w:rPr>
          <w:rStyle w:val="CharStyle12"/>
        </w:rPr>
        <w:t>моль/л.</w:t>
      </w:r>
    </w:p>
    <w:p>
      <w:pPr>
        <w:pStyle w:val="Style10"/>
        <w:framePr w:w="6983" w:h="10856" w:hRule="exact" w:wrap="none" w:vAnchor="page" w:hAnchor="page" w:x="2367" w:y="2852"/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4032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Растворы с меньшей кис</w:t>
        <w:t>-</w:t>
        <w:br/>
        <w:t>лотностью не изучались из-за</w:t>
        <w:br/>
        <w:t>возможного гидролиза хлорида</w:t>
        <w:br/>
        <w:t>паладия(И), а использование бо</w:t>
        <w:t>-</w:t>
        <w:br/>
        <w:t>лее кислых растворов нецеле</w:t>
        <w:t>-</w:t>
        <w:br/>
        <w:t>сообразно из технических со</w:t>
        <w:t>-</w:t>
        <w:br/>
        <w:t>ображений. В дальнейшем все</w:t>
        <w:br/>
        <w:t>измерения оптической плот</w:t>
        <w:t>-</w:t>
        <w:br/>
        <w:t>ности растворов проводили</w:t>
        <w:br/>
        <w:t>при концентрации соляной</w:t>
        <w:br/>
        <w:t>кислоты 2,0</w:t>
      </w:r>
      <w:r>
        <w:rPr>
          <w:rStyle w:val="CharStyle12"/>
        </w:rPr>
        <w:t>моль/л.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Окраска</w:t>
        <w:br/>
        <w:t>образующихся в системе соеди</w:t>
        <w:t>-</w:t>
        <w:br/>
        <w:t>нений развивается сразу же</w:t>
      </w:r>
    </w:p>
    <w:p>
      <w:pPr>
        <w:pStyle w:val="Style10"/>
        <w:framePr w:w="6983" w:h="10856" w:hRule="exact" w:wrap="none" w:vAnchor="page" w:hAnchor="page" w:x="2367" w:y="2852"/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после сливания реагентов и остается постоянной в течение 24 часов.</w:t>
        <w:br/>
        <w:t>Реагенты (ТМ и ФТМ) добавлялись в десятикратном избытке по отноше</w:t>
        <w:t>-</w:t>
        <w:br/>
        <w:t>нию к палладию(Н).</w:t>
      </w:r>
    </w:p>
    <w:p>
      <w:pPr>
        <w:pStyle w:val="Style10"/>
        <w:framePr w:w="6983" w:h="10856" w:hRule="exact" w:wrap="none" w:vAnchor="page" w:hAnchor="page" w:x="2367" w:y="2852"/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Подчиняемость основному закону фотометрии наблюдается в сле</w:t>
        <w:softHyphen/>
        <w:t>дующем интервале концентраций палладия(П): 0,865-21,6</w:t>
      </w:r>
      <w:r>
        <w:rPr>
          <w:rStyle w:val="CharStyle12"/>
        </w:rPr>
        <w:t>мкг/мл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(ТМ) и 0,210-2</w:t>
      </w:r>
      <w:r>
        <w:rPr>
          <w:rStyle w:val="CharStyle12"/>
        </w:rPr>
        <w:t>\,6мкг/мл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(ФТМ). Средние значения кажущихся мольных коэффици</w:t>
        <w:softHyphen/>
        <w:t>ентов светопоглощения составляют соответственно е</w:t>
      </w:r>
      <w:r>
        <w:rPr>
          <w:lang w:val="ru-RU" w:eastAsia="ru-RU" w:bidi="ru-RU"/>
          <w:vertAlign w:val="subscript"/>
          <w:w w:val="100"/>
          <w:spacing w:val="0"/>
          <w:color w:val="000000"/>
          <w:position w:val="0"/>
        </w:rPr>
        <w:t>33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 я^ОООлюль"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• л • </w:t>
      </w:r>
      <w:r>
        <w:rPr>
          <w:rStyle w:val="CharStyle12"/>
        </w:rPr>
        <w:t xml:space="preserve">см՜'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(ТМ) и е</w:t>
      </w:r>
      <w:r>
        <w:rPr>
          <w:lang w:val="ru-RU" w:eastAsia="ru-RU" w:bidi="ru-RU"/>
          <w:vertAlign w:val="subscript"/>
          <w:w w:val="100"/>
          <w:spacing w:val="0"/>
          <w:color w:val="000000"/>
          <w:position w:val="0"/>
        </w:rPr>
        <w:t>330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«5000-иоль՜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• л • </w:t>
      </w:r>
      <w:r>
        <w:rPr>
          <w:rStyle w:val="CharStyle12"/>
        </w:rPr>
        <w:t>см՜'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(ФТМ).</w:t>
      </w:r>
    </w:p>
    <w:p>
      <w:pPr>
        <w:pStyle w:val="Style10"/>
        <w:framePr w:w="6983" w:h="10856" w:hRule="exact" w:wrap="none" w:vAnchor="page" w:hAnchor="page" w:x="2367" w:y="2852"/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0" w:right="0" w:firstLine="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Увеличение чувствительности определения палладия(П) следует объяс</w:t>
        <w:softHyphen/>
        <w:t>нить появлением в молекуле фенилтиомочевины группировки -МН-СбРЬ, повышающей интенсивность окраски образующихся соединений.</w:t>
      </w:r>
    </w:p>
    <w:p>
      <w:pPr>
        <w:framePr w:wrap="none" w:vAnchor="page" w:hAnchor="page" w:x="2509" w:y="708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58pt;height:130pt;">
            <v:imagedata r:id="rId5" r:href="rId6"/>
          </v:shape>
        </w:pict>
      </w:r>
    </w:p>
    <w:p>
      <w:pPr>
        <w:pStyle w:val="Style13"/>
        <w:framePr w:w="3784" w:h="908" w:hRule="exact" w:wrap="none" w:vAnchor="page" w:hAnchor="page" w:x="2372" w:y="993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Спектры поглощения. 1 - </w:t>
      </w:r>
      <w:r>
        <w:rPr>
          <w:rStyle w:val="CharStyle15"/>
        </w:rPr>
        <w:t>0,5мл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1,0 10 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2</w:t>
      </w:r>
      <w:r>
        <w:rPr>
          <w:lang w:val="ru-RU" w:eastAsia="ru-RU" w:bidi="ru-RU"/>
          <w:w w:val="100"/>
          <w:spacing w:val="0"/>
          <w:color w:val="000000"/>
          <w:position w:val="0"/>
        </w:rPr>
        <w:t>Л/ Рс1(11)</w:t>
        <w:br/>
        <w:t xml:space="preserve">на фоне </w:t>
      </w:r>
      <w:r>
        <w:rPr>
          <w:rStyle w:val="CharStyle15"/>
        </w:rPr>
        <w:t>2,ОМ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НС1; 2 - [Рс1(1Г)] : [ФТМ]=1:1 на</w:t>
        <w:br/>
        <w:t>фоне 2,0Л/НС1; 3 - (Р&lt;1(П)]: [ФТМ]=1:3 на фоне</w:t>
        <w:br/>
      </w:r>
      <w:r>
        <w:rPr>
          <w:rStyle w:val="CharStyle15"/>
        </w:rPr>
        <w:t>2,ОМ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НС1.</w:t>
      </w:r>
    </w:p>
    <w:p>
      <w:pPr>
        <w:pStyle w:val="Style16"/>
        <w:framePr w:wrap="none" w:vAnchor="page" w:hAnchor="page" w:x="2358" w:y="14124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66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6794" w:h="4830" w:hRule="exact" w:wrap="none" w:vAnchor="page" w:hAnchor="page" w:x="2462" w:y="2867"/>
        <w:widowControl w:val="0"/>
        <w:keepNext w:val="0"/>
        <w:keepLines w:val="0"/>
        <w:shd w:val="clear" w:color="auto" w:fill="auto"/>
        <w:bidi w:val="0"/>
        <w:jc w:val="both"/>
        <w:spacing w:before="0" w:after="0" w:line="238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Исследование состава образующегося соединения палладия(П) с ТМ и ФТМ было проведено методами молярных отношений и сдвига равно</w:t>
        <w:softHyphen/>
        <w:t>весия. В обоих случаях подтверждается образование комплексных соеди</w:t>
        <w:softHyphen/>
        <w:t>нений при мольных отношениях Рс1(11):К=1:1 и Рс1(И):К=1:3. Для палладия(П) характерно образование квадратно-планарных комплексов с координацион</w:t>
        <w:softHyphen/>
        <w:t>ным числом 4 [4]. Известно, что палладий(П) образует комплексные соеди</w:t>
        <w:softHyphen/>
        <w:t>нения с нейтральными молекулами, содержащими атомы азота, серы, кис</w:t>
        <w:softHyphen/>
        <w:t>лорода и других элементов со свободной неподеленной парой электронов. Таковыми являются, в частности, соединения моно-, ди-, три- и тетрааминогого типа [5].</w:t>
      </w:r>
    </w:p>
    <w:p>
      <w:pPr>
        <w:pStyle w:val="Style10"/>
        <w:framePr w:w="6794" w:h="4830" w:hRule="exact" w:wrap="none" w:vAnchor="page" w:hAnchor="page" w:x="2462" w:y="2867"/>
        <w:widowControl w:val="0"/>
        <w:keepNext w:val="0"/>
        <w:keepLines w:val="0"/>
        <w:shd w:val="clear" w:color="auto" w:fill="auto"/>
        <w:bidi w:val="0"/>
        <w:jc w:val="both"/>
        <w:spacing w:before="0" w:after="0" w:line="238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случаях с ТМ и ФТМ комплексообразование происходит за счет координации через атом серы, поэтому соединения, образующиеся при взаимодействии палладия(Н) с ТМ и ФТМ, можно представить следующим образом: Н[Р(Н1С1з] и [РбК</w:t>
      </w:r>
      <w:r>
        <w:rPr>
          <w:lang w:val="ru-RU" w:eastAsia="ru-RU" w:bidi="ru-RU"/>
          <w:vertAlign w:val="subscript"/>
          <w:w w:val="100"/>
          <w:spacing w:val="0"/>
          <w:color w:val="000000"/>
          <w:position w:val="0"/>
        </w:rPr>
        <w:t>3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С1]С1, где Я - ТМ или ФТМ.</w:t>
      </w:r>
    </w:p>
    <w:p>
      <w:pPr>
        <w:pStyle w:val="Style10"/>
        <w:framePr w:w="6794" w:h="4830" w:hRule="exact" w:wrap="none" w:vAnchor="page" w:hAnchor="page" w:x="2462" w:y="2867"/>
        <w:widowControl w:val="0"/>
        <w:keepNext w:val="0"/>
        <w:keepLines w:val="0"/>
        <w:shd w:val="clear" w:color="auto" w:fill="auto"/>
        <w:bidi w:val="0"/>
        <w:jc w:val="both"/>
        <w:spacing w:before="0" w:after="0" w:line="238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основании полученных данных предложен метод определения палладия в электролите палладирования. С этой целью к аликвотному объе</w:t>
        <w:softHyphen/>
        <w:t>му электролита добавляли соляную кислоту до концентрации 2,0</w:t>
      </w:r>
      <w:r>
        <w:rPr>
          <w:rStyle w:val="CharStyle12"/>
        </w:rPr>
        <w:t xml:space="preserve">моль/л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конечном растворе, 1 </w:t>
      </w:r>
      <w:r>
        <w:rPr>
          <w:rStyle w:val="CharStyle12"/>
        </w:rPr>
        <w:t>мл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0,5%-го раствора ТМ или ФТМ, доводили до 25,0</w:t>
      </w:r>
      <w:r>
        <w:rPr>
          <w:rStyle w:val="CharStyle12"/>
        </w:rPr>
        <w:t>мл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дистиллированной водой и измеряли оптическую плотность при длине волны </w:t>
      </w:r>
      <w:r>
        <w:rPr>
          <w:rStyle w:val="CharStyle12"/>
        </w:rPr>
        <w:t>ЗЗОнм (1 = \см).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Данные представлены в таблице.</w:t>
      </w:r>
    </w:p>
    <w:p>
      <w:pPr>
        <w:pStyle w:val="Style18"/>
        <w:framePr w:wrap="none" w:vAnchor="page" w:hAnchor="page" w:x="3785" w:y="785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Определение палладия(Н) в электролите палладирования</w:t>
      </w:r>
    </w:p>
    <w:tbl>
      <w:tblPr>
        <w:tblOverlap w:val="never"/>
        <w:tblLayout w:type="fixed"/>
        <w:jc w:val="left"/>
      </w:tblPr>
      <w:tblGrid>
        <w:gridCol w:w="1782"/>
        <w:gridCol w:w="1025"/>
        <w:gridCol w:w="1418"/>
        <w:gridCol w:w="1025"/>
        <w:gridCol w:w="1440"/>
      </w:tblGrid>
      <w:tr>
        <w:trPr>
          <w:trHeight w:val="251" w:hRule="exact"/>
        </w:trPr>
        <w:tc>
          <w:tcPr>
            <w:shd w:val="clear" w:color="auto" w:fill="FFFFFF"/>
            <w:gridSpan w:val="5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6690" w:h="1215" w:wrap="none" w:vAnchor="page" w:hAnchor="page" w:x="2509" w:y="820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Определено Р&lt;3(11)</w:t>
            </w:r>
          </w:p>
        </w:tc>
      </w:tr>
      <w:tr>
        <w:trPr>
          <w:trHeight w:val="24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6690" w:h="1215" w:wrap="none" w:vAnchor="page" w:hAnchor="page" w:x="2509" w:y="820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95" w:lineRule="exact"/>
              <w:ind w:left="0" w:right="0" w:firstLine="0"/>
            </w:pPr>
            <w:r>
              <w:rPr>
                <w:rStyle w:val="CharStyle20"/>
              </w:rPr>
              <w:t xml:space="preserve">амперометрическим методом, </w:t>
            </w:r>
            <w:r>
              <w:rPr>
                <w:rStyle w:val="CharStyle21"/>
              </w:rPr>
              <w:t>мг/мл</w:t>
            </w:r>
            <w:r>
              <w:rPr>
                <w:rStyle w:val="CharStyle20"/>
              </w:rPr>
              <w:t xml:space="preserve"> (ТМ)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6690" w:h="1215" w:wrap="none" w:vAnchor="page" w:hAnchor="page" w:x="2509" w:y="820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фотометрическим методом</w:t>
            </w:r>
          </w:p>
        </w:tc>
      </w:tr>
      <w:tr>
        <w:trPr>
          <w:trHeight w:val="47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6690" w:h="1215" w:wrap="none" w:vAnchor="page" w:hAnchor="page" w:x="2509" w:y="820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6690" w:h="1215" w:wrap="none" w:vAnchor="page" w:hAnchor="page" w:x="2509" w:y="8203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50" w:lineRule="exact"/>
              <w:ind w:left="0" w:right="0" w:firstLine="0"/>
            </w:pPr>
            <w:r>
              <w:rPr>
                <w:rStyle w:val="CharStyle21"/>
              </w:rPr>
              <w:t>мг/мл</w:t>
            </w:r>
          </w:p>
          <w:p>
            <w:pPr>
              <w:pStyle w:val="Style10"/>
              <w:framePr w:w="6690" w:h="1215" w:wrap="none" w:vAnchor="page" w:hAnchor="page" w:x="2509" w:y="8203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50" w:lineRule="exact"/>
              <w:ind w:left="0" w:right="0" w:firstLine="0"/>
            </w:pPr>
            <w:r>
              <w:rPr>
                <w:rStyle w:val="CharStyle20"/>
              </w:rPr>
              <w:t>(ТМ)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6690" w:h="1215" w:wrap="none" w:vAnchor="page" w:hAnchor="page" w:x="2509" w:y="82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4" w:lineRule="exact"/>
              <w:ind w:left="260" w:right="0" w:firstLine="0"/>
            </w:pPr>
            <w:r>
              <w:rPr>
                <w:rStyle w:val="CharStyle20"/>
              </w:rPr>
              <w:t>погрешность, % отн. (ТМ)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0"/>
              <w:framePr w:w="6690" w:h="1215" w:wrap="none" w:vAnchor="page" w:hAnchor="page" w:x="2509" w:y="8203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50" w:lineRule="exact"/>
              <w:ind w:left="0" w:right="0" w:firstLine="0"/>
            </w:pPr>
            <w:r>
              <w:rPr>
                <w:rStyle w:val="CharStyle21"/>
              </w:rPr>
              <w:t>мг/мл</w:t>
            </w:r>
          </w:p>
          <w:p>
            <w:pPr>
              <w:pStyle w:val="Style10"/>
              <w:framePr w:w="6690" w:h="1215" w:wrap="none" w:vAnchor="page" w:hAnchor="page" w:x="2509" w:y="8203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50" w:lineRule="exact"/>
              <w:ind w:left="0" w:right="0" w:firstLine="0"/>
            </w:pPr>
            <w:r>
              <w:rPr>
                <w:rStyle w:val="CharStyle20"/>
              </w:rPr>
              <w:t>(ФТМ)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0"/>
              <w:framePr w:w="6690" w:h="1215" w:wrap="none" w:vAnchor="page" w:hAnchor="page" w:x="2509" w:y="82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9" w:lineRule="exact"/>
              <w:ind w:left="240" w:right="0" w:firstLine="0"/>
            </w:pPr>
            <w:r>
              <w:rPr>
                <w:rStyle w:val="CharStyle20"/>
              </w:rPr>
              <w:t>погрешность, % отн. (ФТМ)</w:t>
            </w:r>
          </w:p>
        </w:tc>
      </w:tr>
      <w:tr>
        <w:trPr>
          <w:trHeight w:val="25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6690" w:h="1215" w:wrap="none" w:vAnchor="page" w:hAnchor="page" w:x="2509" w:y="820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0,2605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6690" w:h="1215" w:wrap="none" w:vAnchor="page" w:hAnchor="page" w:x="2509" w:y="820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0,2839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6690" w:h="1215" w:wrap="none" w:vAnchor="page" w:hAnchor="page" w:x="2509" w:y="820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8,25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6690" w:h="1215" w:wrap="none" w:vAnchor="page" w:hAnchor="page" w:x="2509" w:y="820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0,2918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0"/>
              <w:framePr w:w="6690" w:h="1215" w:wrap="none" w:vAnchor="page" w:hAnchor="page" w:x="2509" w:y="820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50" w:lineRule="exact"/>
              <w:ind w:left="0" w:right="0" w:firstLine="0"/>
            </w:pPr>
            <w:r>
              <w:rPr>
                <w:rStyle w:val="CharStyle20"/>
              </w:rPr>
              <w:t>2,9</w:t>
            </w:r>
          </w:p>
        </w:tc>
      </w:tr>
    </w:tbl>
    <w:p>
      <w:pPr>
        <w:pStyle w:val="Style10"/>
        <w:framePr w:w="6794" w:h="1376" w:hRule="exact" w:wrap="none" w:vAnchor="page" w:hAnchor="page" w:x="2462" w:y="9564"/>
        <w:widowControl w:val="0"/>
        <w:keepNext w:val="0"/>
        <w:keepLines w:val="0"/>
        <w:shd w:val="clear" w:color="auto" w:fill="auto"/>
        <w:bidi w:val="0"/>
        <w:jc w:val="both"/>
        <w:spacing w:before="0" w:after="247" w:line="234" w:lineRule="exact"/>
        <w:ind w:left="0" w:right="0" w:firstLine="5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Как видно из приведенных данных, погрешность определения нахо</w:t>
        <w:softHyphen/>
        <w:t>дится в допустимых пределах, а тиомочевина и особенно фенилтиомочевина могут быть использованы для определения палладия(П) фотометрическим методом в солянокислых растворах палладирования.</w:t>
      </w:r>
    </w:p>
    <w:p>
      <w:pPr>
        <w:pStyle w:val="Style22"/>
        <w:framePr w:w="6794" w:h="1376" w:hRule="exact" w:wrap="none" w:vAnchor="page" w:hAnchor="page" w:x="2462" w:y="9564"/>
        <w:tabs>
          <w:tab w:leader="none" w:pos="4999" w:val="left"/>
        </w:tabs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Кафедра аналитической химии</w:t>
        <w:tab/>
        <w:t>Поступила 12.06.2003</w:t>
      </w:r>
    </w:p>
    <w:p>
      <w:pPr>
        <w:pStyle w:val="Style5"/>
        <w:framePr w:w="6794" w:h="1897" w:hRule="exact" w:wrap="none" w:vAnchor="page" w:hAnchor="page" w:x="2462" w:y="11645"/>
        <w:widowControl w:val="0"/>
        <w:keepNext w:val="0"/>
        <w:keepLines w:val="0"/>
        <w:shd w:val="clear" w:color="auto" w:fill="auto"/>
        <w:bidi w:val="0"/>
        <w:jc w:val="center"/>
        <w:spacing w:before="0" w:after="123" w:line="150" w:lineRule="exact"/>
        <w:ind w:left="140" w:right="0" w:firstLine="0"/>
      </w:pPr>
      <w:r>
        <w:rPr>
          <w:rStyle w:val="CharStyle24"/>
        </w:rPr>
        <w:t>ЛИТЕРАТУРА</w:t>
      </w:r>
    </w:p>
    <w:p>
      <w:pPr>
        <w:pStyle w:val="Style5"/>
        <w:numPr>
          <w:ilvl w:val="0"/>
          <w:numId w:val="1"/>
        </w:numPr>
        <w:framePr w:w="6794" w:h="1897" w:hRule="exact" w:wrap="none" w:vAnchor="page" w:hAnchor="page" w:x="2462" w:y="11645"/>
        <w:tabs>
          <w:tab w:leader="none" w:pos="230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Сендел Е. Колориметрические методы определения следов металлов. М.: Мир, 1964,</w:t>
      </w:r>
    </w:p>
    <w:p>
      <w:pPr>
        <w:pStyle w:val="Style5"/>
        <w:framePr w:w="6794" w:h="1897" w:hRule="exact" w:wrap="none" w:vAnchor="page" w:hAnchor="page" w:x="2462" w:y="1164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с. 640.</w:t>
      </w:r>
    </w:p>
    <w:p>
      <w:pPr>
        <w:pStyle w:val="Style5"/>
        <w:numPr>
          <w:ilvl w:val="0"/>
          <w:numId w:val="1"/>
        </w:numPr>
        <w:framePr w:w="6794" w:h="1897" w:hRule="exact" w:wrap="none" w:vAnchor="page" w:hAnchor="page" w:x="2462" w:y="11645"/>
        <w:tabs>
          <w:tab w:leader="none" w:pos="239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Бардин М.Б.-Журнал аналитической химии, 1964, т. 19, № 10, с. 1228.</w:t>
      </w:r>
    </w:p>
    <w:p>
      <w:pPr>
        <w:pStyle w:val="Style5"/>
        <w:numPr>
          <w:ilvl w:val="0"/>
          <w:numId w:val="1"/>
        </w:numPr>
        <w:framePr w:w="6794" w:h="1897" w:hRule="exact" w:wrap="none" w:vAnchor="page" w:hAnchor="page" w:x="2462" w:y="11645"/>
        <w:tabs>
          <w:tab w:leader="none" w:pos="23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6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Мкртчян А.Р., Дарбиняи Г.Г., Шапошникова Г.Н., Хачатрян А.Г. - Информацион</w:t>
        <w:softHyphen/>
        <w:t>ные технологии и управление. Ер., 2003, т. 1, №2, с. 194.</w:t>
      </w:r>
    </w:p>
    <w:p>
      <w:pPr>
        <w:pStyle w:val="Style5"/>
        <w:numPr>
          <w:ilvl w:val="0"/>
          <w:numId w:val="1"/>
        </w:numPr>
        <w:framePr w:w="6794" w:h="1897" w:hRule="exact" w:wrap="none" w:vAnchor="page" w:hAnchor="page" w:x="2462" w:y="11645"/>
        <w:tabs>
          <w:tab w:leader="none" w:pos="239" w:val="left"/>
        </w:tabs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Перрин Д. Органические аналитические реагенты. М.: Мир, 1967, с. 344.</w:t>
      </w:r>
    </w:p>
    <w:p>
      <w:pPr>
        <w:pStyle w:val="Style5"/>
        <w:framePr w:w="6794" w:h="1897" w:hRule="exact" w:wrap="none" w:vAnchor="page" w:hAnchor="page" w:x="2462" w:y="1164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26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 Химическая энциклопедия (гл. ред. И.Л. Кнунянц). М.: Научное изд-во «Большая рос</w:t>
        <w:softHyphen/>
        <w:t>сийская энциклопедия», 1998, т. 3, с. 441.</w:t>
      </w:r>
    </w:p>
    <w:p>
      <w:pPr>
        <w:pStyle w:val="Style16"/>
        <w:framePr w:wrap="none" w:vAnchor="page" w:hAnchor="page" w:x="8931" w:y="13823"/>
        <w:widowControl w:val="0"/>
        <w:keepNext w:val="0"/>
        <w:keepLines w:val="0"/>
        <w:shd w:val="clear" w:color="auto" w:fill="auto"/>
        <w:bidi w:val="0"/>
        <w:jc w:val="left"/>
        <w:spacing w:before="0" w:after="0" w:line="17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67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6"/>
        <w:framePr w:w="7029" w:h="192" w:hRule="exact" w:wrap="none" w:vAnchor="page" w:hAnchor="page" w:x="2552" w:y="2939"/>
        <w:widowControl w:val="0"/>
        <w:keepNext w:val="0"/>
        <w:keepLines w:val="0"/>
        <w:shd w:val="clear" w:color="auto" w:fill="auto"/>
        <w:bidi w:val="0"/>
        <w:jc w:val="center"/>
        <w:spacing w:before="0" w:after="0" w:line="170" w:lineRule="exact"/>
        <w:ind w:left="0" w:right="140" w:firstLine="0"/>
      </w:pPr>
      <w:r>
        <w:rPr>
          <w:w w:val="100"/>
          <w:spacing w:val="0"/>
          <w:color w:val="000000"/>
          <w:position w:val="0"/>
        </w:rPr>
        <w:t>Ա. Ռ. ՄԿՐՏՉՅԱՆ, Գ. Ն. ՇԱՊՈՇՆԻԿՈՎԱ, Հ. Գ. ԽԱՉԱՏՐՅԱՆ</w:t>
      </w:r>
    </w:p>
    <w:p>
      <w:pPr>
        <w:pStyle w:val="Style10"/>
        <w:framePr w:w="7114" w:h="3441" w:hRule="exact" w:wrap="none" w:vAnchor="page" w:hAnchor="page" w:x="2466" w:y="3376"/>
        <w:widowControl w:val="0"/>
        <w:keepNext w:val="0"/>
        <w:keepLines w:val="0"/>
        <w:shd w:val="clear" w:color="auto" w:fill="auto"/>
        <w:bidi w:val="0"/>
        <w:spacing w:before="0" w:after="219" w:line="239" w:lineRule="exact"/>
        <w:ind w:left="0" w:right="60" w:firstLine="0"/>
      </w:pPr>
      <w:r>
        <w:rPr>
          <w:lang w:val="hy-AM" w:eastAsia="hy-AM" w:bidi="hy-AM"/>
          <w:w w:val="100"/>
          <w:spacing w:val="0"/>
          <w:color w:val="000000"/>
          <w:position w:val="0"/>
        </w:rPr>
        <w:t>ԹԻՈՄԻԶԱՆՅՈՒԹԻ ԵՎ ՖԵՆԻԼԹԻՈՄԻԶԱՆՅՈՒԹԻ ՀԵՏ</w:t>
        <w:br/>
        <w:t>ՊԱևԱԴԻՈՒՄ(11)-Ի ՓՈԽԱԶԴԵՑՈՒԹՅԱՆ ՈՒՍՈՒՄՆԱՍԻՐՈՒՄԸ</w:t>
        <w:br/>
        <w:t>ՍՊԵԿՏՐԱԼՈՒՍԱՉԱՓԱԿԱՆ ԵՂԱՆԱԿՈՎ</w:t>
      </w:r>
    </w:p>
    <w:p>
      <w:pPr>
        <w:pStyle w:val="Style10"/>
        <w:framePr w:w="7114" w:h="3441" w:hRule="exact" w:wrap="none" w:vAnchor="page" w:hAnchor="page" w:x="2466" w:y="3376"/>
        <w:widowControl w:val="0"/>
        <w:keepNext w:val="0"/>
        <w:keepLines w:val="0"/>
        <w:shd w:val="clear" w:color="auto" w:fill="auto"/>
        <w:bidi w:val="0"/>
        <w:spacing w:before="0" w:after="201" w:line="190" w:lineRule="exact"/>
        <w:ind w:left="0" w:right="60" w:firstLine="0"/>
      </w:pPr>
      <w:r>
        <w:rPr>
          <w:rStyle w:val="CharStyle25"/>
        </w:rPr>
        <w:t>Ամփոփում</w:t>
      </w:r>
    </w:p>
    <w:p>
      <w:pPr>
        <w:pStyle w:val="Style10"/>
        <w:framePr w:w="7114" w:h="3441" w:hRule="exact" w:wrap="none" w:vAnchor="page" w:hAnchor="page" w:x="2466" w:y="3376"/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0" w:right="0" w:firstLine="640"/>
      </w:pPr>
      <w:r>
        <w:rPr>
          <w:lang w:val="hy-AM" w:eastAsia="hy-AM" w:bidi="hy-AM"/>
          <w:w w:val="100"/>
          <w:spacing w:val="0"/>
          <w:color w:val="000000"/>
          <w:position w:val="0"/>
        </w:rPr>
        <w:t>Սպեկտրալուսաչափական եղանակով ուսումնասիրվել է թիոմիզա- նյութի և ֆենիլթիոմիզանյութի հետ պալադիում(11)-ի փոխազդեցությունը: Հաստատվել են փոխազդեցության օպտիմալ պայմանները միջավայրի թթվությունը, լուսաչափության հիմնական օրենքին ենթարկվելու սահման</w:t>
        <w:softHyphen/>
        <w:t>ները): Մոլային հարաբերոությունների և հավասարակշռության տեղաշարժի եղանակներով որոշվել է գոյացող միացությունների բաղադրությունը:</w:t>
      </w:r>
    </w:p>
    <w:p>
      <w:pPr>
        <w:pStyle w:val="Style10"/>
        <w:framePr w:w="7114" w:h="3441" w:hRule="exact" w:wrap="none" w:vAnchor="page" w:hAnchor="page" w:x="2466" w:y="3376"/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0" w:right="0" w:firstLine="640"/>
      </w:pPr>
      <w:r>
        <w:rPr>
          <w:lang w:val="hy-AM" w:eastAsia="hy-AM" w:bidi="hy-AM"/>
          <w:w w:val="100"/>
          <w:spacing w:val="0"/>
          <w:color w:val="000000"/>
          <w:position w:val="0"/>
        </w:rPr>
        <w:t>Մշակվել են պալադիումապատման էլեկտրոփտում պալադիումի սպեկտրալուսաչափական քանակական որոշման եղանակներ:</w:t>
      </w:r>
    </w:p>
    <w:p>
      <w:pPr>
        <w:pStyle w:val="Style5"/>
        <w:framePr w:w="7114" w:h="3864" w:hRule="exact" w:wrap="none" w:vAnchor="page" w:hAnchor="page" w:x="2466" w:y="7638"/>
        <w:widowControl w:val="0"/>
        <w:keepNext w:val="0"/>
        <w:keepLines w:val="0"/>
        <w:shd w:val="clear" w:color="auto" w:fill="auto"/>
        <w:bidi w:val="0"/>
        <w:jc w:val="center"/>
        <w:spacing w:before="0" w:after="146" w:line="150" w:lineRule="exact"/>
        <w:ind w:left="0" w:right="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A. R. MKRTCHYAN, G. N. SHAPOSHNIKOVA, H. G. KHACHATRYAN</w:t>
      </w:r>
    </w:p>
    <w:p>
      <w:pPr>
        <w:pStyle w:val="Style10"/>
        <w:framePr w:w="7114" w:h="3864" w:hRule="exact" w:wrap="none" w:vAnchor="page" w:hAnchor="page" w:x="2466" w:y="7638"/>
        <w:widowControl w:val="0"/>
        <w:keepNext w:val="0"/>
        <w:keepLines w:val="0"/>
        <w:shd w:val="clear" w:color="auto" w:fill="auto"/>
        <w:bidi w:val="0"/>
        <w:spacing w:before="0" w:after="0" w:line="248" w:lineRule="exact"/>
        <w:ind w:left="0" w:right="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INVESTIGATION OF INTERACTION OF PALLADIUM(II)</w:t>
      </w:r>
    </w:p>
    <w:p>
      <w:pPr>
        <w:pStyle w:val="Style10"/>
        <w:framePr w:w="7114" w:h="3864" w:hRule="exact" w:wrap="none" w:vAnchor="page" w:hAnchor="page" w:x="2466" w:y="7638"/>
        <w:widowControl w:val="0"/>
        <w:keepNext w:val="0"/>
        <w:keepLines w:val="0"/>
        <w:shd w:val="clear" w:color="auto" w:fill="auto"/>
        <w:bidi w:val="0"/>
        <w:spacing w:before="0" w:after="227" w:line="248" w:lineRule="exact"/>
        <w:ind w:left="0" w:right="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WITH THIOUREA AND PHENYLTHIOUREA USING</w:t>
        <w:br/>
        <w:t>SPECTROPHOTOMETRIC METHOD</w:t>
      </w:r>
    </w:p>
    <w:p>
      <w:pPr>
        <w:pStyle w:val="Style10"/>
        <w:framePr w:w="7114" w:h="3864" w:hRule="exact" w:wrap="none" w:vAnchor="page" w:hAnchor="page" w:x="2466" w:y="7638"/>
        <w:widowControl w:val="0"/>
        <w:keepNext w:val="0"/>
        <w:keepLines w:val="0"/>
        <w:shd w:val="clear" w:color="auto" w:fill="auto"/>
        <w:bidi w:val="0"/>
        <w:spacing w:before="0" w:after="192" w:line="190" w:lineRule="exact"/>
        <w:ind w:left="0" w:right="60" w:firstLine="0"/>
      </w:pPr>
      <w:r>
        <w:rPr>
          <w:rStyle w:val="CharStyle25"/>
          <w:lang w:val="en-US" w:eastAsia="en-US" w:bidi="en-US"/>
        </w:rPr>
        <w:t>Summary</w:t>
      </w:r>
    </w:p>
    <w:p>
      <w:pPr>
        <w:pStyle w:val="Style10"/>
        <w:framePr w:w="7114" w:h="3864" w:hRule="exact" w:wrap="none" w:vAnchor="page" w:hAnchor="page" w:x="2466" w:y="7638"/>
        <w:tabs>
          <w:tab w:leader="none" w:pos="25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0" w:right="0" w:firstLine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>The interaction of palladium(II) with thiourea and phenylthiourea has been studied using spectrophotometric method. Optimal conditions for this interaction have been estimated</w:t>
        <w:tab/>
        <w:t>medium acidity, the range of Submittance to the</w:t>
      </w:r>
    </w:p>
    <w:p>
      <w:pPr>
        <w:pStyle w:val="Style10"/>
        <w:framePr w:w="7114" w:h="3864" w:hRule="exact" w:wrap="none" w:vAnchor="page" w:hAnchor="page" w:x="2466" w:y="7638"/>
        <w:widowControl w:val="0"/>
        <w:keepNext w:val="0"/>
        <w:keepLines w:val="0"/>
        <w:shd w:val="clear" w:color="auto" w:fill="auto"/>
        <w:bidi w:val="0"/>
        <w:jc w:val="both"/>
        <w:spacing w:before="0" w:after="0" w:line="24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photometry main law). The composition of compounds formed in the system has been determined by means of the two methods: molar ratio and equilibrium shift methods.</w:t>
      </w:r>
    </w:p>
    <w:p>
      <w:pPr>
        <w:pStyle w:val="Style10"/>
        <w:framePr w:w="7114" w:h="3864" w:hRule="exact" w:wrap="none" w:vAnchor="page" w:hAnchor="page" w:x="2466" w:y="7638"/>
        <w:widowControl w:val="0"/>
        <w:keepNext w:val="0"/>
        <w:keepLines w:val="0"/>
        <w:shd w:val="clear" w:color="auto" w:fill="auto"/>
        <w:bidi w:val="0"/>
        <w:jc w:val="both"/>
        <w:spacing w:before="0" w:after="0" w:line="226" w:lineRule="exact"/>
        <w:ind w:left="0" w:right="0" w:firstLine="640"/>
      </w:pPr>
      <w:r>
        <w:rPr>
          <w:lang w:val="en-US" w:eastAsia="en-US" w:bidi="en-US"/>
          <w:w w:val="100"/>
          <w:spacing w:val="0"/>
          <w:color w:val="000000"/>
          <w:position w:val="0"/>
        </w:rPr>
        <w:t>Some methods have been elaborated for spectrophotometric determination of palladium in the galvanic electrolyte.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5"/>
        <w:szCs w:val="15"/>
        <w:rFonts w:ascii="Sylfaen" w:eastAsia="Sylfaen" w:hAnsi="Sylfaen" w:cs="Sylfae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5"/>
      <w:szCs w:val="15"/>
      <w:rFonts w:ascii="Sylfaen" w:eastAsia="Sylfaen" w:hAnsi="Sylfaen" w:cs="Sylfaen"/>
    </w:rPr>
  </w:style>
  <w:style w:type="character" w:customStyle="1" w:styleId="CharStyle6">
    <w:name w:val="Body text (4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5"/>
      <w:szCs w:val="15"/>
      <w:rFonts w:ascii="Sylfaen" w:eastAsia="Sylfaen" w:hAnsi="Sylfaen" w:cs="Sylfaen"/>
    </w:rPr>
  </w:style>
  <w:style w:type="character" w:customStyle="1" w:styleId="CharStyle7">
    <w:name w:val="Body text (4) + 9.5 pt"/>
    <w:basedOn w:val="CharStyle6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9">
    <w:name w:val="Body text (5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Constantia" w:eastAsia="Constantia" w:hAnsi="Constantia" w:cs="Constantia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9"/>
      <w:szCs w:val="19"/>
      <w:rFonts w:ascii="Sylfaen" w:eastAsia="Sylfaen" w:hAnsi="Sylfaen" w:cs="Sylfaen"/>
    </w:rPr>
  </w:style>
  <w:style w:type="character" w:customStyle="1" w:styleId="CharStyle12">
    <w:name w:val="Body text (2) + 10 pt,Italic"/>
    <w:basedOn w:val="CharStyle11"/>
    <w:rPr>
      <w:lang w:val="ru-RU" w:eastAsia="ru-RU" w:bidi="ru-RU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4">
    <w:name w:val="Picture caption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5"/>
      <w:szCs w:val="15"/>
      <w:rFonts w:ascii="Sylfaen" w:eastAsia="Sylfaen" w:hAnsi="Sylfaen" w:cs="Sylfaen"/>
    </w:rPr>
  </w:style>
  <w:style w:type="character" w:customStyle="1" w:styleId="CharStyle15">
    <w:name w:val="Picture caption + Italic"/>
    <w:basedOn w:val="CharStyle14"/>
    <w:rPr>
      <w:lang w:val="ru-RU" w:eastAsia="ru-RU" w:bidi="ru-RU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17">
    <w:name w:val="Header or footer_"/>
    <w:basedOn w:val="DefaultParagraphFont"/>
    <w:link w:val="Style16"/>
    <w:rPr>
      <w:lang w:val="hy-AM" w:eastAsia="hy-AM" w:bidi="hy-AM"/>
      <w:b w:val="0"/>
      <w:bCs w:val="0"/>
      <w:i w:val="0"/>
      <w:iCs w:val="0"/>
      <w:u w:val="none"/>
      <w:strike w:val="0"/>
      <w:smallCaps w:val="0"/>
      <w:sz w:val="17"/>
      <w:szCs w:val="17"/>
      <w:rFonts w:ascii="Sylfaen" w:eastAsia="Sylfaen" w:hAnsi="Sylfaen" w:cs="Sylfaen"/>
    </w:rPr>
  </w:style>
  <w:style w:type="character" w:customStyle="1" w:styleId="CharStyle19">
    <w:name w:val="Table caption_"/>
    <w:basedOn w:val="DefaultParagraphFont"/>
    <w:link w:val="Style18"/>
    <w:rPr>
      <w:b w:val="0"/>
      <w:bCs w:val="0"/>
      <w:i/>
      <w:iCs/>
      <w:u w:val="none"/>
      <w:strike w:val="0"/>
      <w:smallCaps w:val="0"/>
      <w:sz w:val="15"/>
      <w:szCs w:val="15"/>
      <w:rFonts w:ascii="Sylfaen" w:eastAsia="Sylfaen" w:hAnsi="Sylfaen" w:cs="Sylfaen"/>
      <w:spacing w:val="0"/>
    </w:rPr>
  </w:style>
  <w:style w:type="character" w:customStyle="1" w:styleId="CharStyle20">
    <w:name w:val="Body text (2) + 7.5 pt"/>
    <w:basedOn w:val="CharStyle11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21">
    <w:name w:val="Body text (2) + 7.5 pt,Italic"/>
    <w:basedOn w:val="CharStyle11"/>
    <w:rPr>
      <w:lang w:val="ru-RU" w:eastAsia="ru-RU" w:bidi="ru-RU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23">
    <w:name w:val="Body text (6)_"/>
    <w:basedOn w:val="DefaultParagraphFont"/>
    <w:link w:val="Style22"/>
    <w:rPr>
      <w:b w:val="0"/>
      <w:bCs w:val="0"/>
      <w:i/>
      <w:iCs/>
      <w:u w:val="none"/>
      <w:strike w:val="0"/>
      <w:smallCaps w:val="0"/>
      <w:sz w:val="15"/>
      <w:szCs w:val="15"/>
      <w:rFonts w:ascii="Sylfaen" w:eastAsia="Sylfaen" w:hAnsi="Sylfaen" w:cs="Sylfaen"/>
      <w:spacing w:val="0"/>
    </w:rPr>
  </w:style>
  <w:style w:type="character" w:customStyle="1" w:styleId="CharStyle24">
    <w:name w:val="Body text (4) + Spacing 1 pt"/>
    <w:basedOn w:val="CharStyle6"/>
    <w:rPr>
      <w:lang w:val="ru-RU" w:eastAsia="ru-RU" w:bidi="ru-RU"/>
      <w:w w:val="100"/>
      <w:spacing w:val="30"/>
      <w:color w:val="000000"/>
      <w:position w:val="0"/>
    </w:rPr>
  </w:style>
  <w:style w:type="character" w:customStyle="1" w:styleId="CharStyle25">
    <w:name w:val="Body text (2) + Spacing 1 pt"/>
    <w:basedOn w:val="CharStyle11"/>
    <w:rPr>
      <w:lang w:val="hy-AM" w:eastAsia="hy-AM" w:bidi="hy-AM"/>
      <w:w w:val="100"/>
      <w:spacing w:val="3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120" w:line="16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Sylfaen" w:eastAsia="Sylfaen" w:hAnsi="Sylfaen" w:cs="Sylfaen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jc w:val="both"/>
      <w:spacing w:before="120" w:after="1440" w:line="0" w:lineRule="exact"/>
      <w:ind w:hanging="260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Sylfaen" w:eastAsia="Sylfaen" w:hAnsi="Sylfaen" w:cs="Sylfaen"/>
    </w:rPr>
  </w:style>
  <w:style w:type="paragraph" w:customStyle="1" w:styleId="Style8">
    <w:name w:val="Body text (5)"/>
    <w:basedOn w:val="Normal"/>
    <w:link w:val="CharStyle9"/>
    <w:pPr>
      <w:widowControl w:val="0"/>
      <w:shd w:val="clear" w:color="auto" w:fill="FFFFFF"/>
      <w:jc w:val="right"/>
      <w:spacing w:before="1440" w:after="420"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Constantia" w:eastAsia="Constantia" w:hAnsi="Constantia" w:cs="Constantia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jc w:val="center"/>
      <w:spacing w:before="300" w:line="236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ylfaen" w:eastAsia="Sylfaen" w:hAnsi="Sylfaen" w:cs="Sylfaen"/>
    </w:rPr>
  </w:style>
  <w:style w:type="paragraph" w:customStyle="1" w:styleId="Style13">
    <w:name w:val="Picture caption"/>
    <w:basedOn w:val="Normal"/>
    <w:link w:val="CharStyle14"/>
    <w:pPr>
      <w:widowControl w:val="0"/>
      <w:shd w:val="clear" w:color="auto" w:fill="FFFFFF"/>
      <w:jc w:val="center"/>
      <w:spacing w:line="213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Sylfaen" w:eastAsia="Sylfaen" w:hAnsi="Sylfaen" w:cs="Sylfaen"/>
    </w:rPr>
  </w:style>
  <w:style w:type="paragraph" w:customStyle="1" w:styleId="Style16">
    <w:name w:val="Header or footer"/>
    <w:basedOn w:val="Normal"/>
    <w:link w:val="CharStyle17"/>
    <w:pPr>
      <w:widowControl w:val="0"/>
      <w:shd w:val="clear" w:color="auto" w:fill="FFFFFF"/>
      <w:spacing w:line="0" w:lineRule="exact"/>
    </w:pPr>
    <w:rPr>
      <w:lang w:val="hy-AM" w:eastAsia="hy-AM" w:bidi="hy-AM"/>
      <w:b w:val="0"/>
      <w:bCs w:val="0"/>
      <w:i w:val="0"/>
      <w:iCs w:val="0"/>
      <w:u w:val="none"/>
      <w:strike w:val="0"/>
      <w:smallCaps w:val="0"/>
      <w:sz w:val="17"/>
      <w:szCs w:val="17"/>
      <w:rFonts w:ascii="Sylfaen" w:eastAsia="Sylfaen" w:hAnsi="Sylfaen" w:cs="Sylfaen"/>
    </w:rPr>
  </w:style>
  <w:style w:type="paragraph" w:customStyle="1" w:styleId="Style18">
    <w:name w:val="Table caption"/>
    <w:basedOn w:val="Normal"/>
    <w:link w:val="CharStyle19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Sylfaen" w:eastAsia="Sylfaen" w:hAnsi="Sylfaen" w:cs="Sylfaen"/>
      <w:spacing w:val="0"/>
    </w:rPr>
  </w:style>
  <w:style w:type="paragraph" w:customStyle="1" w:styleId="Style22">
    <w:name w:val="Body text (6)"/>
    <w:basedOn w:val="Normal"/>
    <w:link w:val="CharStyle23"/>
    <w:pPr>
      <w:widowControl w:val="0"/>
      <w:shd w:val="clear" w:color="auto" w:fill="FFFFFF"/>
      <w:jc w:val="both"/>
      <w:spacing w:before="180" w:after="720" w:line="0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Sylfaen" w:eastAsia="Sylfaen" w:hAnsi="Sylfaen" w:cs="Sylfae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